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bCs/>
          <w:sz w:val="36"/>
          <w:szCs w:val="36"/>
        </w:rPr>
        <w:t>年度四川省高等学校人文社会科学重点研究基地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基层司法能力研究中心拟立项项目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bCs/>
          <w:sz w:val="28"/>
          <w:szCs w:val="28"/>
        </w:rPr>
        <w:t>四川省高等学校人文社会科学重点研究基地——基层司法能力研究中心学术委员会201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Cs/>
          <w:sz w:val="28"/>
          <w:szCs w:val="28"/>
        </w:rPr>
        <w:t>年5月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Cs/>
          <w:sz w:val="28"/>
          <w:szCs w:val="28"/>
        </w:rPr>
        <w:t>日评审通过）</w:t>
      </w: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第一类：重点项目（7项）</w:t>
      </w:r>
    </w:p>
    <w:tbl>
      <w:tblPr>
        <w:tblStyle w:val="5"/>
        <w:tblW w:w="14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920"/>
        <w:gridCol w:w="2041"/>
        <w:gridCol w:w="4360"/>
        <w:gridCol w:w="1632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编  号</w:t>
            </w:r>
          </w:p>
        </w:tc>
        <w:tc>
          <w:tcPr>
            <w:tcW w:w="2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  位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项目负责人</w:t>
            </w:r>
          </w:p>
        </w:tc>
        <w:tc>
          <w:tcPr>
            <w:tcW w:w="4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计划完成</w:t>
            </w:r>
          </w:p>
          <w:p>
            <w:pPr>
              <w:ind w:firstLine="103" w:firstLineChars="49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  间</w:t>
            </w: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四川理工学院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兰芬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四川省</w:t>
            </w:r>
            <w:r>
              <w:rPr>
                <w:rFonts w:hint="eastAsia" w:ascii="宋体" w:hAnsi="宋体" w:cs="宋体"/>
                <w:sz w:val="22"/>
                <w:szCs w:val="22"/>
              </w:rPr>
              <w:t>社会主义乡村法治的功能基础和制度优化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2020.04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四川理工学院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邓旭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特殊非典型劳动关系的法律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治理</w:t>
            </w:r>
            <w:r>
              <w:rPr>
                <w:rFonts w:hint="eastAsia" w:ascii="宋体" w:hAnsi="宋体" w:cs="宋体"/>
                <w:sz w:val="22"/>
                <w:szCs w:val="22"/>
              </w:rPr>
              <w:t>研究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.06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西华大学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张邦铺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民事诉讼理念与制度研究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2020.12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复旦大学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杨军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不纯正不作为犯等置实体化研究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2019.12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 w:firstLineChars="48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自贡市大安区人民检察院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齐力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检察机关公益诉讼调查核实权研究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.12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论文、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华东政法大学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李晓郛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医疗PPP模式的法治保障和对策研究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.12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富顺县人民法院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陈必胜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环境资源审判机制改革研究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2019.06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研究报告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第二类：一般项目（11项）</w:t>
      </w:r>
    </w:p>
    <w:tbl>
      <w:tblPr>
        <w:tblStyle w:val="5"/>
        <w:tblW w:w="14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826"/>
        <w:gridCol w:w="2071"/>
        <w:gridCol w:w="4069"/>
        <w:gridCol w:w="1911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编  号</w:t>
            </w:r>
          </w:p>
        </w:tc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  位</w:t>
            </w: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项目负责人</w:t>
            </w:r>
          </w:p>
        </w:tc>
        <w:tc>
          <w:tcPr>
            <w:tcW w:w="4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计划完成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  间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四川理工学院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支果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人工智能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创作物</w:t>
            </w:r>
            <w:r>
              <w:rPr>
                <w:rFonts w:hint="eastAsia" w:ascii="宋体" w:hAnsi="宋体" w:cs="宋体"/>
                <w:sz w:val="22"/>
                <w:szCs w:val="22"/>
              </w:rPr>
              <w:t>的知识产权问题研究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成都理工大学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杨会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起诉标准与定罪标准关系研究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重庆科技大学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杨睿宇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救助型社交媒体众筹法律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6"/>
                <w:tab w:val="center" w:pos="907"/>
              </w:tabs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2020.06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攀枝花学院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刘磊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人民监督员制度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转型研究</w:t>
            </w:r>
            <w:bookmarkStart w:id="0" w:name="_GoBack"/>
            <w:bookmarkEnd w:id="0"/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2020.04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四川司法警官职业学院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徐娟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构建共享型公共法律服务平台的实践与探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以四川为例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2019.05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13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成都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院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张宇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交通警察心理健康现状调查与心理辅导策略研究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2020.04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西南科技大学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谌明凤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中国古代死刑替代制度的当代启示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2019.07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自贡市大安区人民检察院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王东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新形势下基层人民检察院法律监督权研究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2019.12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16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西华大学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廖磊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网络思政视角下青少年社区矫正教育效果研究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2019.09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17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宜宾县人民法院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吴金桃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民事诉讼中法官庭外调查制度研究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2019.07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18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西南财经大学天府学院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张潇丹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四川农村公共法律精准服务体系构建研究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2020.02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832"/>
    <w:rsid w:val="00034AA2"/>
    <w:rsid w:val="00090CB3"/>
    <w:rsid w:val="00123F0C"/>
    <w:rsid w:val="0013352D"/>
    <w:rsid w:val="001A38A8"/>
    <w:rsid w:val="001D2E89"/>
    <w:rsid w:val="002118B1"/>
    <w:rsid w:val="00310C35"/>
    <w:rsid w:val="00315275"/>
    <w:rsid w:val="003625A2"/>
    <w:rsid w:val="0039380D"/>
    <w:rsid w:val="004615B4"/>
    <w:rsid w:val="005032C2"/>
    <w:rsid w:val="005D2425"/>
    <w:rsid w:val="00605A3E"/>
    <w:rsid w:val="00637E99"/>
    <w:rsid w:val="006938E9"/>
    <w:rsid w:val="006B10F7"/>
    <w:rsid w:val="006B2832"/>
    <w:rsid w:val="00727370"/>
    <w:rsid w:val="008153CE"/>
    <w:rsid w:val="0085354F"/>
    <w:rsid w:val="00857E77"/>
    <w:rsid w:val="008D3CE2"/>
    <w:rsid w:val="009921DB"/>
    <w:rsid w:val="00A4790C"/>
    <w:rsid w:val="00A50587"/>
    <w:rsid w:val="00A56A2A"/>
    <w:rsid w:val="00AB6625"/>
    <w:rsid w:val="00B14A1C"/>
    <w:rsid w:val="00B24CF7"/>
    <w:rsid w:val="00B26F3E"/>
    <w:rsid w:val="00BD3F2A"/>
    <w:rsid w:val="00C34B8D"/>
    <w:rsid w:val="00C655FF"/>
    <w:rsid w:val="00C8438C"/>
    <w:rsid w:val="00C8688E"/>
    <w:rsid w:val="00CF735E"/>
    <w:rsid w:val="00D34C3F"/>
    <w:rsid w:val="00D546B1"/>
    <w:rsid w:val="00D764EA"/>
    <w:rsid w:val="00DA40A3"/>
    <w:rsid w:val="00DB5114"/>
    <w:rsid w:val="00DE3FAA"/>
    <w:rsid w:val="00ED65C3"/>
    <w:rsid w:val="00F151D0"/>
    <w:rsid w:val="00F47998"/>
    <w:rsid w:val="00F716A2"/>
    <w:rsid w:val="070358B3"/>
    <w:rsid w:val="0BD62F43"/>
    <w:rsid w:val="0C203D92"/>
    <w:rsid w:val="23515B0C"/>
    <w:rsid w:val="261D0C02"/>
    <w:rsid w:val="26982533"/>
    <w:rsid w:val="2C620F27"/>
    <w:rsid w:val="2D044014"/>
    <w:rsid w:val="394A6EB9"/>
    <w:rsid w:val="3A902833"/>
    <w:rsid w:val="43A16FE0"/>
    <w:rsid w:val="4B054D3E"/>
    <w:rsid w:val="5580015E"/>
    <w:rsid w:val="55930CF2"/>
    <w:rsid w:val="7894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163</Words>
  <Characters>934</Characters>
  <Lines>7</Lines>
  <Paragraphs>2</Paragraphs>
  <TotalTime>0</TotalTime>
  <ScaleCrop>false</ScaleCrop>
  <LinksUpToDate>false</LinksUpToDate>
  <CharactersWithSpaces>1095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2016-06-21T02:54:00Z</dcterms:created>
  <dc:creator>丁玄</dc:creator>
  <cp:lastModifiedBy>WX</cp:lastModifiedBy>
  <dcterms:modified xsi:type="dcterms:W3CDTF">2018-05-24T08:49:11Z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